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Numer sprawy </w:t>
      </w:r>
      <w:r>
        <w:rPr>
          <w:rFonts w:ascii="Cambria" w:hAnsi="Cambria"/>
          <w:sz w:val="20"/>
          <w:szCs w:val="20"/>
          <w:highlight w:val="yellow"/>
        </w:rPr>
        <w:t xml:space="preserve">21/PN/2022 </w:t>
      </w:r>
      <w:r>
        <w:rPr>
          <w:rFonts w:ascii="Cambria" w:hAnsi="Cambria"/>
          <w:sz w:val="20"/>
          <w:szCs w:val="20"/>
        </w:rPr>
        <w:t xml:space="preserve"> - </w:t>
      </w:r>
      <w:r>
        <w:rPr>
          <w:rFonts w:ascii="Cambria" w:hAnsi="Cambria"/>
          <w:sz w:val="20"/>
          <w:szCs w:val="20"/>
          <w:u w:val="single"/>
        </w:rPr>
        <w:t>załącznik numer 1a</w:t>
      </w:r>
    </w:p>
    <w:p>
      <w:pPr>
        <w:pStyle w:val="Normal"/>
        <w:spacing w:lineRule="auto" w:line="276" w:before="0" w:after="0"/>
        <w:ind w:hanging="1"/>
        <w:rPr>
          <w:rFonts w:ascii="Cambria" w:hAnsi="Cambria" w:cs="Arial"/>
          <w:b/>
          <w:b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  <w:tab/>
        <w:tab/>
        <w:tab/>
        <w:t xml:space="preserve"> </w:t>
      </w:r>
    </w:p>
    <w:p>
      <w:pPr>
        <w:pStyle w:val="Normal"/>
        <w:jc w:val="center"/>
        <w:rPr>
          <w:rFonts w:ascii="Cambria" w:hAnsi="Cambria"/>
          <w:b/>
          <w:b/>
          <w:sz w:val="28"/>
        </w:rPr>
      </w:pPr>
      <w:r>
        <w:rPr>
          <w:rFonts w:cs="Arial"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8"/>
        </w:rPr>
        <w:t>Szczegółowe wymagania dotyczące Próbki oferowanego Systemu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 niniejszym dokumencie zawarte zostały wymagania dotyczące sposobu przygotowania zestawu demonstracyjnego jak i zakresu prezentacji próbki dostarczanego systemu. Wykonawca ubiegający się o udział w postępowaniu zobowiązany jest dostarczyć zestaw demonstracyjny do oferty.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I.</w:t>
        <w:tab/>
        <w:t>Wymagania dotyczące przygotowania, złożenia i zwrotu próbki</w:t>
      </w:r>
    </w:p>
    <w:p>
      <w:pPr>
        <w:pStyle w:val="ListParagraph"/>
        <w:numPr>
          <w:ilvl w:val="0"/>
          <w:numId w:val="4"/>
        </w:numPr>
        <w:spacing w:before="0" w:after="14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W celu zaprezentowania Zamawiającemu, że oferowane przez Wykonawcę oprogramowanie posiada wymagane funkcjonalności podstawowe, Wykonawca zobowiązany jest dołączyć do oferty próbkę Systemu podlegającą weryfikacji i ocenie. </w:t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Próbkę Systemu należy dostarczyć na nośniku danych (preferowany nośnik: zewnętrzny dysk SSD), na którym znajdować się będzie obraz dysku/dysków komputera. Dla każdego dysku, obraz musi być pojedynczym plikiem. Obraz dysku musi być wykonany w taki sposób, aby Wykonawca mógł samodzielnie dokonać odtworzenia „obrazu” komputera i przeprowadzić prezentację Systemu. Dla każdego pliku obrazu dysku/dysków komputera, musi zostać wytworzona suma kontrolna MD5. Wartość sumy kontrolnej - „cyfrowego odcisku” pliku musi być dołączona do oferty w pliku tekstowym. </w:t>
      </w:r>
    </w:p>
    <w:p>
      <w:pPr>
        <w:pStyle w:val="ListParagraph"/>
        <w:numPr>
          <w:ilvl w:val="0"/>
          <w:numId w:val="4"/>
        </w:numPr>
        <w:spacing w:before="0" w:after="158"/>
        <w:contextualSpacing/>
        <w:rPr>
          <w:rFonts w:ascii="Cambria" w:hAnsi="Cambria"/>
        </w:rPr>
      </w:pPr>
      <w:r>
        <w:rPr>
          <w:rFonts w:ascii="Cambria" w:hAnsi="Cambria"/>
        </w:rPr>
        <w:t xml:space="preserve">Próbka Systemu musi być złożona z: </w:t>
      </w:r>
    </w:p>
    <w:p>
      <w:pPr>
        <w:pStyle w:val="Normal"/>
        <w:spacing w:lineRule="auto" w:line="247" w:before="0" w:after="17"/>
        <w:ind w:left="1065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a) danych demonstracyjnych, </w:t>
      </w:r>
    </w:p>
    <w:p>
      <w:pPr>
        <w:pStyle w:val="Normal"/>
        <w:spacing w:lineRule="auto" w:line="247" w:before="0" w:after="116"/>
        <w:ind w:left="1065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b) oprogramowania, które dostarczone zostanie w ramach realizacji zamówienia </w:t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Próbka Systemu musi być w pełni skonfigurowana i musi zawierać wszystkie niezbędne elementy zapewniające możliwość praktycznej prezentacji wymaganych funkcjonalności podstawowych, tak aby w trakcie prezentacji próbki nie były instalowane żadne dodatkowe komponenty Systemu. </w:t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Przekazana próbka Systemu musi być zabezpieczona hasłem/hasłami dostępu. Informacja o wszystkich danych umożliwiających uruchomienie próbki, tj. nazwy użytkowników i ich hasła, muszą zostać w postaci pliku tekstowego dołączone do oferty. </w:t>
      </w:r>
    </w:p>
    <w:p>
      <w:pPr>
        <w:pStyle w:val="ListParagraph"/>
        <w:numPr>
          <w:ilvl w:val="0"/>
          <w:numId w:val="4"/>
        </w:numPr>
        <w:rPr/>
      </w:pPr>
      <w:r>
        <w:rPr>
          <w:rFonts w:ascii="Cambria" w:hAnsi="Cambria"/>
        </w:rPr>
        <w:t xml:space="preserve">Próbką Systemu (nośnik danych) należy zabezpieczyć w odpowiednim, trwałym opakowaniu uniemożliwiającym jego zdjęcie bez rozerwania (gruba koperta, pudełko kartonowe) odpowiednio opisanym i podpisanym. Na opakowaniu należy umieścić napis – Przetarg nieograniczony- PRÓBKA- numer sprawy </w:t>
      </w:r>
      <w:r>
        <w:rPr>
          <w:rFonts w:ascii="Cambria" w:hAnsi="Cambria"/>
        </w:rPr>
        <w:t>21/PN/2022</w:t>
      </w:r>
    </w:p>
    <w:p>
      <w:pPr>
        <w:pStyle w:val="ListParagraph"/>
        <w:numPr>
          <w:ilvl w:val="0"/>
          <w:numId w:val="4"/>
        </w:numPr>
        <w:spacing w:lineRule="auto" w:line="235" w:before="0" w:after="121"/>
        <w:ind w:left="705" w:right="-12" w:hanging="360"/>
        <w:contextualSpacing/>
        <w:jc w:val="both"/>
        <w:rPr>
          <w:rFonts w:ascii="Cambria" w:hAnsi="Cambria"/>
        </w:rPr>
      </w:pPr>
      <w:r>
        <w:rPr>
          <w:rFonts w:ascii="Cambria" w:hAnsi="Cambria"/>
          <w:u w:val="single" w:color="000000"/>
        </w:rPr>
        <w:t>Niezłożenie próbki Systemu wraz z ofertą w miejscu i terminie wskazanym przez</w:t>
      </w:r>
      <w:r>
        <w:rPr>
          <w:rFonts w:ascii="Cambria" w:hAnsi="Cambria"/>
        </w:rPr>
        <w:t xml:space="preserve"> </w:t>
      </w:r>
      <w:r>
        <w:rPr>
          <w:rFonts w:ascii="Cambria" w:hAnsi="Cambria"/>
          <w:u w:val="single" w:color="000000"/>
        </w:rPr>
        <w:t>Zamawiającego w SWZ lub nieprzystąpienie do prezentacji w wyznaczonym terminie, skutkowało</w:t>
      </w:r>
      <w:r>
        <w:rPr>
          <w:rFonts w:ascii="Cambria" w:hAnsi="Cambria"/>
        </w:rPr>
        <w:t xml:space="preserve"> </w:t>
      </w:r>
      <w:r>
        <w:rPr>
          <w:rFonts w:ascii="Cambria" w:hAnsi="Cambria"/>
          <w:u w:val="single" w:color="000000"/>
        </w:rPr>
        <w:t>będzie odrzuceniem oferty</w:t>
      </w:r>
      <w:r>
        <w:rPr>
          <w:rFonts w:ascii="Cambria" w:hAnsi="Cambria"/>
        </w:rPr>
        <w:t xml:space="preserve">. </w:t>
      </w:r>
    </w:p>
    <w:p>
      <w:pPr>
        <w:pStyle w:val="ListParagraph"/>
        <w:numPr>
          <w:ilvl w:val="0"/>
          <w:numId w:val="4"/>
        </w:numPr>
        <w:spacing w:lineRule="auto" w:line="235" w:before="0" w:after="121"/>
        <w:ind w:left="705" w:right="-12" w:hanging="360"/>
        <w:contextualSpacing/>
        <w:jc w:val="both"/>
        <w:rPr>
          <w:rFonts w:ascii="Cambria" w:hAnsi="Cambria"/>
        </w:rPr>
      </w:pPr>
      <w:r>
        <w:rPr>
          <w:rFonts w:ascii="Cambria" w:hAnsi="Cambria"/>
          <w:u w:val="single" w:color="000000"/>
        </w:rPr>
        <w:t>Złożenie próbki Systemu, która nie będzie kompletna, skutkowało będzie odrzuceniem</w:t>
      </w:r>
      <w:r>
        <w:rPr>
          <w:rFonts w:ascii="Cambria" w:hAnsi="Cambria"/>
        </w:rPr>
        <w:t xml:space="preserve"> </w:t>
      </w:r>
      <w:r>
        <w:rPr>
          <w:rFonts w:ascii="Cambria" w:hAnsi="Cambria"/>
          <w:u w:val="single" w:color="000000"/>
        </w:rPr>
        <w:t>oferty.</w:t>
      </w:r>
      <w:r>
        <w:rPr>
          <w:rFonts w:ascii="Cambria" w:hAnsi="Cambria"/>
        </w:rPr>
        <w:t xml:space="preserve"> </w:t>
      </w:r>
    </w:p>
    <w:p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Zamawiający nie przewiduje pokrycia kosztów przygotowania próbki Systemu. </w:t>
      </w:r>
    </w:p>
    <w:p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zaprezentuje próbkę na własnym zestawie demonstracyjnych (komputer/laptop, projektor itp.) w ustalonym terminie. Zapewnienie odpowiedniego zestawu demonstracyjnego do uruchomienia próbki leży w gestii Wykonawcy. Brak możliwości uruchomienia próbki przez Wykonawcę na zestawie demonstracyjnym będzie skutkować odrzuceniem oferty na postawie art. 226 ust.1 pkt 5 PZP</w:t>
      </w:r>
    </w:p>
    <w:p>
      <w:pPr>
        <w:pStyle w:val="ListParagraph"/>
        <w:ind w:left="705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ind w:left="705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ind w:left="705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II.</w:t>
        <w:tab/>
        <w:t>Zasady przeprowadzenia prezentacji i oceny Systemu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Wykonawca, zaprezentuje oferowany System (na podstawie złożonej wraz z ofertą próbki) zgodnie z niniejszym punktem (Zasady przeprowadzenia prezentacji i oceny Systemu) w oparciu o Scenariusz Prezentacji Systemu opisany poniżej.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zaprezentuje system w siedzibie Zamawiającego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przygotuje na potrzeby prezentacji odpowiednie pomieszczenie. </w:t>
      </w:r>
    </w:p>
    <w:p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Zamawiający powiadomi Wykonawcę o miejscu i terminie prezentacji z wyprzedzeniem co najmniej 5 dni roboczych przed terminem prezentacji. </w:t>
      </w:r>
    </w:p>
    <w:p>
      <w:pPr>
        <w:pStyle w:val="ListParagraph"/>
        <w:rPr>
          <w:rFonts w:ascii="Cambria" w:hAnsi="Cambria"/>
        </w:rPr>
      </w:pPr>
      <w:r>
        <w:rPr>
          <w:rFonts w:ascii="Cambria" w:hAnsi="Cambria"/>
        </w:rPr>
        <w:t xml:space="preserve">Na uzasadniony wniosek wykonawcy możliwa jest zmiana terminu prezentacji, jednakże przesunięcie terminu możliwe jest wyłącznie raz. Kolejny wniosek o zmianę terminu potraktowany będzie jako uchylenie się od dokonania prezentacji i w konsekwencji odrzucenie oferty. Wykonawca musi przesłać wniosek o zmianę terminu nie później niż na 24h przed wyznaczonym terminem prezentacji.   </w:t>
      </w:r>
    </w:p>
    <w:p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Prezentacje będą przeprowadzane: </w:t>
      </w:r>
    </w:p>
    <w:p>
      <w:pPr>
        <w:pStyle w:val="ListParagraph"/>
        <w:widowControl w:val="false"/>
        <w:numPr>
          <w:ilvl w:val="1"/>
          <w:numId w:val="1"/>
        </w:numPr>
        <w:suppressAutoHyphens w:val="true"/>
        <w:spacing w:lineRule="auto" w:line="240" w:before="0" w:after="0"/>
        <w:ind w:left="709" w:hanging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oddzielnie dla każdego Wykonawcy, którzy zostali wezwani przez Zamawiającego </w:t>
      </w:r>
    </w:p>
    <w:p>
      <w:pPr>
        <w:pStyle w:val="ListParagraph"/>
        <w:widowControl w:val="false"/>
        <w:numPr>
          <w:ilvl w:val="1"/>
          <w:numId w:val="1"/>
        </w:numPr>
        <w:suppressAutoHyphens w:val="true"/>
        <w:spacing w:lineRule="auto" w:line="240" w:before="0" w:after="0"/>
        <w:ind w:left="709" w:hanging="0"/>
        <w:contextualSpacing/>
        <w:rPr>
          <w:rFonts w:ascii="Cambria" w:hAnsi="Cambria"/>
          <w:color w:val="FF0000"/>
        </w:rPr>
      </w:pPr>
      <w:r>
        <w:rPr>
          <w:rFonts w:ascii="Cambria" w:hAnsi="Cambria"/>
        </w:rPr>
        <w:t>w wyznaczonych terminach w godzinach od 8:00 do 13:00 (maksymalny czas trwania prezentacji  3 godziny) w siedzibie Zamawiającego</w:t>
      </w:r>
      <w:r>
        <w:rPr>
          <w:rFonts w:ascii="Cambria" w:hAnsi="Cambria"/>
          <w:color w:val="FF0000"/>
        </w:rPr>
        <w:t>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samodzielnie rozpakuje próbkę w obecności członków komisji Zamawiającego.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Ze strony Wykonawcy mogą wziąć udział maksymalnie 2 osoby, zapewniające na miejscu prezentację próbki.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Zamawiający zapewni na potrzeby przeprowadzenia prezentacji Systemu salę, ekran, oraz możliwość podłączenia komputera, projektora i drukarki Wykonawcy do sieci elektrycznej – 230V / 50Hz.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 trakcie prezentacji komputer z próbką nie może się łączyć z innymi komputerami oraz siecią Internet. Nie można także korzystać z przenośnych urządzeń pamięci (pendrive, CD, itp.) z wyjątkiem nośnika danych z którego będzie uruchamiana próbka Systemu. Można natomiast wpisywać lub korygować dane z klawiatury.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może korzystać z pomocy technicznej podczas uruchamiania próbki Systemu </w:t>
        <w:br/>
        <w:t>z zastrzeżeniem wyłącznie możliwości konsultacji w miejscu prezentacji telefonicznie, lub z wykorzystaniem ww. narzędzi zdalnych  ze swoim konsultantem technicznym.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Wykonawca w trakcie przygotowania do prezentacji oraz w jej trakcie nie może dokonywać żadnych zmian w Systemie wynikających ze zmiany kodów źródłowych.</w:t>
      </w:r>
    </w:p>
    <w:p>
      <w:pPr>
        <w:pStyle w:val="ListParagraph"/>
        <w:numPr>
          <w:ilvl w:val="0"/>
          <w:numId w:val="3"/>
        </w:numPr>
        <w:spacing w:lineRule="auto" w:line="247" w:before="0" w:after="116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 szczególności niedopuszczalne jest w trakcie prezentacji próbki (za wyjątkiem odtworzenia obrazu z nośnika danych z próbką Systemu) 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552" w:leader="none"/>
          <w:tab w:val="left" w:pos="3600" w:leader="none"/>
          <w:tab w:val="left" w:pos="4320" w:leader="none"/>
        </w:tabs>
        <w:spacing w:lineRule="auto" w:line="240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instalowanie oprogramowania,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552" w:leader="none"/>
          <w:tab w:val="left" w:pos="3600" w:leader="none"/>
          <w:tab w:val="left" w:pos="4320" w:leader="none"/>
        </w:tabs>
        <w:spacing w:lineRule="auto" w:line="240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wgrywanie (przy pomocy nośników zewnętrznych lub innych środków komunikacji, np. sieci bezprzewodowej) nowych danych i programów,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-720" w:leader="none"/>
          <w:tab w:val="left" w:pos="0" w:leader="none"/>
          <w:tab w:val="left" w:pos="720" w:leader="none"/>
          <w:tab w:val="left" w:pos="1440" w:leader="none"/>
          <w:tab w:val="left" w:pos="2160" w:leader="none"/>
          <w:tab w:val="left" w:pos="2552" w:leader="none"/>
          <w:tab w:val="left" w:pos="3600" w:leader="none"/>
          <w:tab w:val="left" w:pos="4320" w:leader="none"/>
        </w:tabs>
        <w:spacing w:lineRule="auto" w:line="240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modyfikowanie zainstalowanego oprogramowania,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w czasie przygotowania się do prezentacji oraz w jej trakcie może wykonywać czynności na komputerze z próbką wyłącznie w sytuacji, gdy obraz z tego komputera jest wyświetlany za pomocą projektora.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Ze strony Zamawiającego podczas prezentacji Systemu będą obecni członkowie Komisji powołanej przez Zamawiającego przedstawieni na początku prezentacji.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Przed prezentacją próbki osoby reprezentujące Wykonawcę w siedzibie Zamawiającego  muszą przekazać Zamawiającemu  pełnomocnictwo lub pełnomocnictwa udzielone przez Wykonawcę do przeprowadzenia prezentacji próbki (oryginał) dla osób obecnych na miejscu w siedzibie Zamawiającego. Pełnomocnictwa mogą też wynikać z dokumentów złożonych w ofercie.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sporządzi listę obecności osób biorących udział w poszczególnych prezentacjach.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opóźnienia rozpoczęcia prezentacji z winy leżącej po stronie Wykonawcy, Zamawiający nie przesunie terminu zakończenia prezentacji.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Jeżeli Wykonawca nie stawi się w celu dokonania prezentacji próbki Systemu w wyznaczonym przez Zamawiającego terminie i miejscu (czas oczekiwania Zamawiającego wyniesie 1 godzinę), jego oferta zostanie odrzucona na postawie art. 226 ust. 1 pkt 5 Pzp.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z każdej prezentacji Systemu sporządzi pisemny protokół, w którym opisany będzie przebieg prezentacji.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W prezentacji próbki Systemu mogą uczestniczyć tylko i wyłącznie członkowie Komisji powołanej przez Zamawiającego oraz upoważnieni przedstawiciele Wykonawcy.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udostępni Wykonawcy próbkę Systemu (nośnik danych) dostarczony razem z ofertą 10 min. przed planowym rozpoczęciem prezentacji próbki Systemu przy asyście Zamawiającego w celu uruchomienia z zachowaniem warunku z pkt. 11.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W przypadku gdy prezentację próbki będzie trzeba przerwać z przyczyn nieleżących po stronie Wykonawcy, dopuszcza się zakończenie (wznowienie) prezentacji w kolejnym wyznaczonym przez Zamawiającego terminie. Łączny czas prezentacji przerwanej i wznowionej nie może przekroczyć 3 godzin.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dopuszcza przerwę na żądanie Wykonawcy, ale trwającą nie dłużej niż 10 min. Czas przerwy nie jest wliczany do łącznego czasu prezentacji.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Wykonawca przygotuje i uruchomi zestaw demonstracyjny w taki sposób, aby ekran komputera został powielony na obrazie wyświetlanym przez projektor.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 wykorzystaniem próbki załączonej przez Wykonawcę do oferty, przeprowadzona zostanie weryfikacja i ocena funkcjonalności obligatoryjnych zawartych w Scenariuszu Prezentacji Systemu.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Niepotwierdzenie występowania w próbce - na etapie prezentacji - chociażby jednej </w:t>
        <w:br/>
        <w:t>z wymienionych funkcjonalności obligatoryjnych skutkować będzie odrzuceniem oferty.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Przeprowadzenie weryfikacji próbki Systemu będzie udokumentowane pisemnym protokołem Komisji przetargowej, który zostanie włączony do akt przedmiotowego postępowania o udzielenie zamówienia publicznego.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 przypadku gdy z powodu wystąpienia błędu oprogramowania nie zostanie zaprezentowana jakaś funkcjonalność dopuszcza się tylko jedną możliwość powtórzenia prezentacji funkcjonalności. Czas potrzebny na drugą próbę prezentacji funkcjonalności nie wydłuża  czasu przeznaczonego na prezentację.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Przez błąd Zamawiający rozumie nieprawidłowe funkcjonowanie oprogramowania  przejawiające się w niemożności wykonania określonego działania/operacji lub utrudnieniom w jej wykonaniu, nie wynikające z braku spełnienia funkcjonalności, ale wskutek problemów technicznych np. zawieszenie, konieczność resetu.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Jeżeli podczas prezentacji wystąpi awaria, której przyczyna nie   leży po stronie Zamawiającego, która nie będzie możliwa do naprawienia w ciągu 1 godziny w obecności członków komisji, prezentacja zostanie zakończona, a oferta zostanie odrzucona, jeśli nie zostały zaprezentowane wszystkie funkcjonalności obligatoryjne. Prezentacja może zostać przedłużona jedynie o czas jednej naprawy trwającej nie dłużej niż 1 godzinę.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Zaprezentowane przez Wykonawcę funkcjonalności zostaną uznane za zgodne ze stanem faktycznym, jeżeli prezentacja wykaże, że oferowany system rzeczywiście posiada dane funkcjonalności.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Każda z zadeklarowanych prezentowanych funkcjonalności będzie weryfikowana przez  Komisję Przetargową na zasadzie "jest/brak" (TAK/NIE).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 przypadku pozytywnej weryfikacji danej funkcjonalności Komisja Przetargowa uzna, że funkcjonalność została zaprezentowana i prezentacja wykazała jej spełnienie. </w:t>
      </w:r>
    </w:p>
    <w:p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Po zakończeniu prezentacji próbki Systemu Wykonawca ma obowiązek ponownego jej zabezpieczenia a Zamawiający zobowiązany jest do przechowania jej w stanie nie naruszonym do kolejnych etapów postępowania.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Cambria" w:hAnsi="Cambria" w:eastAsia="Batang" w:cs="Calibri Light" w:cstheme="majorHAnsi"/>
          <w:b/>
          <w:b/>
          <w:bCs/>
          <w:sz w:val="32"/>
          <w:szCs w:val="32"/>
        </w:rPr>
      </w:pPr>
      <w:r>
        <w:rPr>
          <w:rFonts w:eastAsia="Batang" w:cs="Calibri Light" w:ascii="Cambria" w:hAnsi="Cambria" w:cstheme="majorHAnsi"/>
          <w:b/>
          <w:bCs/>
          <w:sz w:val="32"/>
          <w:szCs w:val="32"/>
        </w:rPr>
        <w:t>FUNKCJONALNOŚCI BADANE W TRAKCIE PREZENTACJI PRÓBKI SYSTEMU</w:t>
      </w:r>
    </w:p>
    <w:p>
      <w:pPr>
        <w:pStyle w:val="Normal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cstheme="majorHAnsi" w:ascii="Cambria" w:hAnsi="Cambria"/>
          <w:b/>
          <w:bCs/>
          <w:sz w:val="24"/>
          <w:szCs w:val="24"/>
        </w:rPr>
      </w:r>
    </w:p>
    <w:p>
      <w:pPr>
        <w:pStyle w:val="Normal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ascii="Cambria" w:hAnsi="Cambria" w:cstheme="majorHAnsi"/>
          <w:b/>
          <w:bCs/>
          <w:sz w:val="24"/>
          <w:szCs w:val="24"/>
        </w:rPr>
        <w:t>WYMAGANIA MINIMALNE (OBLIGATORYJNE)</w:t>
      </w:r>
    </w:p>
    <w:p>
      <w:pPr>
        <w:pStyle w:val="ListParagraph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cstheme="majorHAnsi" w:ascii="Cambria" w:hAnsi="Cambria"/>
          <w:b/>
          <w:bCs/>
          <w:sz w:val="24"/>
          <w:szCs w:val="24"/>
        </w:rPr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7"/>
        <w:gridCol w:w="2027"/>
        <w:gridCol w:w="2424"/>
        <w:gridCol w:w="2403"/>
        <w:gridCol w:w="1681"/>
      </w:tblGrid>
      <w:tr>
        <w:trPr/>
        <w:tc>
          <w:tcPr>
            <w:tcW w:w="527" w:type="dxa"/>
            <w:tcBorders/>
            <w:shd w:color="auto" w:fill="E7E6E6" w:themeFill="background2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Lp.</w:t>
            </w:r>
          </w:p>
        </w:tc>
        <w:tc>
          <w:tcPr>
            <w:tcW w:w="2027" w:type="dxa"/>
            <w:tcBorders/>
            <w:shd w:color="auto" w:fill="E7E6E6" w:themeFill="background2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Obszar</w:t>
            </w:r>
          </w:p>
        </w:tc>
        <w:tc>
          <w:tcPr>
            <w:tcW w:w="2424" w:type="dxa"/>
            <w:tcBorders/>
            <w:shd w:color="auto" w:fill="E7E6E6" w:themeFill="background2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Treść wymagania</w:t>
            </w:r>
          </w:p>
        </w:tc>
        <w:tc>
          <w:tcPr>
            <w:tcW w:w="2403" w:type="dxa"/>
            <w:tcBorders/>
            <w:shd w:color="auto" w:fill="E7E6E6" w:themeFill="background2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Sposób prezentacji</w:t>
            </w:r>
          </w:p>
        </w:tc>
        <w:tc>
          <w:tcPr>
            <w:tcW w:w="1681" w:type="dxa"/>
            <w:tcBorders/>
            <w:shd w:color="auto" w:fill="E7E6E6" w:themeFill="background2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Spełnia TAK/NIE</w:t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1.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Wymagania globalne dla systemu informatycznego</w:t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Wszystkie moduły oferowanego systemu HIS i EDM są aplikacjami webowymi, obsługiwanymi przez przeglądarki internetowe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 xml:space="preserve">Uruchomić zaoferowane moduły w przeglądarce internetowej, zalogować się do systemu 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2.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Wymagania globalne dla systemu informatycznego</w:t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aktywny monitoring kompletności dokumentacji lekarskiej i pielęgniarskiej wraz z możliwością wylistowania brakujących dokumentów z poziomu kontekstu pacjenta oraz możliwość weryfikacji tych braków na etapie zakończenia świadczenia ambulatoryjnego lub szpitalnego.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trakcie uzupełniania dokumentu wypisu zaprezentować braki w dokumentacji występujące u wybranego pacjenta. Podczas próby zatwierdzenia wypisu, zaprezentować weryfikację braków. Uzupełnić brakujące dokumenty, nie tracąc kontekstu wypisu. Zatwierdzić dokument wypisu.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3.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Wymagania globalne dla systemu informatycznego</w:t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zapis przez użytkowników całych dokumentów w postaci szablonów do ponownego wykorzystania z możliwością wprowadzenia zmian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dla wybranego dokumentu np. karta wizyty przygotować szablon, zapisać pod wskazaną w czasie prezentacji nazwą. Następnie zaprezentować możliwość wykorzystania wcześniej stworzonego szablonu w nowym dokumencie karta wizyty, dla innego pacjenta.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4.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- moduł Poradnia – Rejestracja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podgląd zaplanowanych wizyt pacjenta z poziomu rezerwacji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z poziomu listy pacjentów zaprezentować listę wizyt z wszystkich poradni przypisanych do wybranego pacjenta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5.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-moduł Poradnia – Gabinet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podgląd wyników badań, a w przypadku wyników badań laboratoryjnych przeglądanie w formie tabelarycznej z kolorystycznym oznaczeniem wartości odstających oraz w formie wykresu z możliwością wyboru parametrów znajdujących się na wykresie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przejść do modułu oddział, a następnie wyświetlić zestawienie wyników badań laboratoryjnych wybranego pacjenta w formie tabelarycznej. Kolejno wskazać w tabeli oznaczenie wartości odstających, a następnie wyświetlić zestawienie wyników badań laboratoryjnych wybranego pacjenta w formie wykresu dla wybranych z listy parametrów będących przedmiotem badania.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6.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- moduł Oddział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podgląd wystawionych zleceń pacjenta z oznaczeniem statusów realizacji danego zlecenia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z poziomu oddziału dla wybranego pacjenta należy wyświetlić listę zleceń o różnych statusach ich realizacji.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7.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- moduł Oddział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kopiowanie wpisów z wcześniej dodanych tożsamych wypełnionych dokumentów dla konkretnych pól lub całych dokumentów z zachowaniem bieżącej daty i godziny oraz zalogowanego użytkownika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trakcie uzupełniania dokumentu np. obserwacje lekarskie skopiować zawartość jednego z pól z wcześniej uzupełnionych dla tego pacjenta obserwacji lekarskich.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8.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– moduł Zlecenia i Realizacja podań leków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zlecanie leków z jednoczesnym dostępem do całej dokumentacji pacjenta w jednym oknie.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z poziomu oddziału w trakcie uzupełniania karty zleceń należy zaprezentować podgląd dokumentacji pacjenta np. wyniki badań laboratoryjnych.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/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9.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Oprogramowanie wewnętrzne Szpitala – moduł Gruper JGP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wyznaczenie wszystkich  możliwych grup do jakich może zostać zakwalifikowana hospitalizacja zgodnie z zawartą umową z NFZ.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dla zakończonej hospitalizacji zaprezentować wyznaczenie wszystkich możliwych grup z informacją do których może zostać zakwalifikowana hospitalizacja zgodnie z zawartą umową z NFZ.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  <w:tr>
        <w:trPr>
          <w:trHeight w:val="1212" w:hRule="atLeast"/>
        </w:trPr>
        <w:tc>
          <w:tcPr>
            <w:tcW w:w="527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  <w:b/>
                <w:b/>
                <w:bCs/>
              </w:rPr>
            </w:pPr>
            <w:r>
              <w:rPr>
                <w:rFonts w:eastAsia="Batang" w:cs="Calibri Light" w:ascii="Cambria" w:hAnsi="Cambria" w:cstheme="majorHAnsi"/>
                <w:b/>
                <w:bCs/>
              </w:rPr>
              <w:t>10.</w:t>
            </w:r>
          </w:p>
        </w:tc>
        <w:tc>
          <w:tcPr>
            <w:tcW w:w="2027" w:type="dxa"/>
            <w:tcBorders/>
            <w:shd w:fill="auto" w:val="clear"/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240" w:after="0"/>
              <w:jc w:val="center"/>
              <w:outlineLvl w:val="0"/>
              <w:rPr>
                <w:rFonts w:ascii="Cambria" w:hAnsi="Cambria" w:eastAsia="Batang" w:cs="Calibri Light" w:cstheme="majorHAnsi"/>
                <w:color w:val="auto"/>
                <w:sz w:val="22"/>
                <w:szCs w:val="22"/>
              </w:rPr>
            </w:pPr>
            <w:r>
              <w:rPr>
                <w:rFonts w:eastAsia="Batang" w:cs="Calibri Light" w:ascii="Cambria" w:hAnsi="Cambria" w:cstheme="majorHAnsi"/>
                <w:color w:val="auto"/>
                <w:sz w:val="22"/>
                <w:szCs w:val="22"/>
              </w:rPr>
              <w:t>Rehabilitacja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  <w:tc>
          <w:tcPr>
            <w:tcW w:w="242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Moduł rehabilitacji umożliwia automatyczne planowanie na bazie dostępności osób i urządzeń</w:t>
            </w:r>
          </w:p>
        </w:tc>
        <w:tc>
          <w:tcPr>
            <w:tcW w:w="2403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W celu spełnienia wymagania należy: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ascii="Cambria" w:hAnsi="Cambria" w:cstheme="majorHAnsi"/>
              </w:rPr>
              <w:t>dla pacjenta, który posiada w systemie zlecenie na zabieg rehabilitacji zaprezentować możliwość automatycznego wyznaczenia planowanych zabiegów.</w:t>
            </w:r>
          </w:p>
        </w:tc>
        <w:tc>
          <w:tcPr>
            <w:tcW w:w="1681" w:type="dxa"/>
            <w:tcBorders/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center"/>
              <w:rPr>
                <w:rFonts w:ascii="Cambria" w:hAnsi="Cambria" w:eastAsia="Batang" w:cs="Calibri Light" w:cstheme="majorHAnsi"/>
              </w:rPr>
            </w:pPr>
            <w:r>
              <w:rPr>
                <w:rFonts w:eastAsia="Batang" w:cs="Calibri Light" w:cstheme="majorHAnsi" w:ascii="Cambria" w:hAnsi="Cambria"/>
              </w:rPr>
            </w:r>
          </w:p>
        </w:tc>
      </w:tr>
    </w:tbl>
    <w:p>
      <w:pPr>
        <w:pStyle w:val="Normal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cstheme="majorHAnsi" w:ascii="Cambria" w:hAnsi="Cambria"/>
          <w:b/>
          <w:bCs/>
          <w:sz w:val="24"/>
          <w:szCs w:val="24"/>
        </w:rPr>
      </w:r>
    </w:p>
    <w:p>
      <w:pPr>
        <w:pStyle w:val="Normal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ascii="Cambria" w:hAnsi="Cambria" w:cstheme="majorHAnsi"/>
          <w:b/>
          <w:bCs/>
          <w:sz w:val="24"/>
          <w:szCs w:val="24"/>
        </w:rPr>
        <w:t>WYMAGANIA DODATKOWO PUNKTOWANE – PO 2 PKT.</w:t>
      </w:r>
    </w:p>
    <w:p>
      <w:pPr>
        <w:pStyle w:val="Normal"/>
        <w:rPr>
          <w:rFonts w:ascii="Cambria" w:hAnsi="Cambria" w:eastAsia="Batang" w:cs="Calibri Light" w:cstheme="majorHAnsi"/>
          <w:b/>
          <w:b/>
          <w:bCs/>
          <w:sz w:val="24"/>
          <w:szCs w:val="24"/>
        </w:rPr>
      </w:pPr>
      <w:r>
        <w:rPr>
          <w:rFonts w:eastAsia="Batang" w:cs="Calibri Light" w:cstheme="majorHAnsi" w:ascii="Cambria" w:hAnsi="Cambria"/>
          <w:b/>
          <w:bCs/>
          <w:sz w:val="24"/>
          <w:szCs w:val="24"/>
        </w:rPr>
      </w:r>
    </w:p>
    <w:tbl>
      <w:tblPr>
        <w:tblStyle w:val="Tabela-Siatka"/>
        <w:tblW w:w="9067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6"/>
        <w:gridCol w:w="2702"/>
        <w:gridCol w:w="2301"/>
        <w:gridCol w:w="2491"/>
        <w:gridCol w:w="1007"/>
      </w:tblGrid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Wymagania globalne dla systemu informatycznego</w:t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prezentacje historii zmian dokumentów wraz z informacją o użytkowniku, który dokonał modyfikacji dokumentu. Wszelkie zmiany prezentowane są w jednym oknie z hierarchiczną prezentacją tych zmian. Zmiany wyróżniane są oddzielnym kolorem z podziałem na dodane/usunięte/ edytowane.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zmodyfikować wcześniej uzupełniony dokument, a następnie zaprezentować historię jego modyfikacji zgodnie z treścią wymagania.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2.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Wymagania globalne dla systemu informatycznego</w:t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wprowadzenie na jednej wizycie rozliczenia NFZ jak i komercyjnego. Wszystkie operacje dodawania rozliczeń mogą być wykonywane z jednego okna rozliczeniowego. Zaewidencjonowane dane poprawnie sprawozdają do NFZ z wyłączeniem usług komercyjnych natomiast na dokumentach rozliczeniowych typu paragon, faktura z danej wizyty podpowiadają się  tylko usługi komercyjne z wyłączeniem pozycji powiązanych z kontraktem NFZ.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proces rozliczeń zgodnie z wymaganiem.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3.</w:t>
            </w:r>
          </w:p>
        </w:tc>
        <w:tc>
          <w:tcPr>
            <w:tcW w:w="2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Wymagania globalne dla systemu informatycznego</w:t>
            </w:r>
          </w:p>
        </w:tc>
        <w:tc>
          <w:tcPr>
            <w:tcW w:w="23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Kopiowanie uprawnień z innego konta do nowotworzonego 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dodać do systemu nowego pracownika z kontem z poziomu zarządzania uprawnieniami zaprezentować możliwość skopiowania uprawnień do tworzonego konta z dowolnego wybranego z listy innego konta już istniejącego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4.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- moduł Poradnia –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walidację rezerwacji podwójnej wizyty w poradni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zarejestrować pacjenta na wizytę do wybranej poradni, a następnie dlatego samego pacjenta zaprezentować rejestrację drugiego terminu do tej samej poradni, do tego samego lekarza, w tym samym terminie, ale na inną godzinę. 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5.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Oprogramowanie wewnętrzne Szpitala - moduł Oddział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konfigurację wyświetlania ostrzeżeń na liście pacjentów oddziału co najmniej w zakresie: liczby dni cewnikowania, liczby dni na danym cewniku, występujących odleżyn, przekroczony czas wkłucia centralnego powyżej 72h, braków w dokumentacji lub/i czasu przymusu bezpośredniego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oddziału zaprezentować możliwość konfiguracji wyświetlanych liście pacjentów ostrzeżeń min. w zakresie liczby dni cewnikowania i występujących odleżyn.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6.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– moduł Zlecenia i Realizacja podań leków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oznaczanie na Karcie leków kolorami statusu leku co najmniej potwierdzone, zrealizowane, wstrzymane z podaniem przyczyny oraz zaplanowane - do potwierdzenia.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W celu spełnienia wymagania należy: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z poziomu oddziału zaprezentować kartę leków pacjenta, który posiada leki oznaczone odpowiednimi statusami co najmniej: potwierdzone, zaplanowane. System powinien wyróżniać te statusy kolorystycznie. 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7.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– moduł Zlecenia i Realizacja podań leków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zmianę dawki i godziny podawania leku z poziomu Karty zleceń.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oddziału zaprezentować możliwość zmiany dawki i godziny bezpośrednio z karty zleceń.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8.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– moduł Zlecenia i Realizacja podań leków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wydruk zlecenia lekarskiego.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oddziału dla pacjenta który posiada uzupełnioną kartę zleceń zaprezentować podgląd wydruku tej karty.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9.</w:t>
            </w:r>
          </w:p>
        </w:tc>
        <w:tc>
          <w:tcPr>
            <w:tcW w:w="27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- moduł Oddział</w:t>
            </w:r>
          </w:p>
        </w:tc>
        <w:tc>
          <w:tcPr>
            <w:tcW w:w="23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Lista zrealizowanych czynności w kontekście dnia na wybranym oddziale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prezentacji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w kontekście wybranego przez Zamawiającego oddziału listę zrealizowanych czynności (procedury, leki)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zrealizować dla wybranego przez Zamawiającego pacjenta zleconą procedurę (czynność) i pokazać widoczność tej czynności jako zrealizowanej na powyższej liście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10.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-moduł Zakażenia szpitalne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wyświetlanie alertu o możliwości zakażenia w przypadku zmian wybranych parametrów np. przy temperaturze ciała powyżej 38 st. C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zaewidencjonować parametry życiowe dla wybranego pacjenta (temperatura ciała powyżej 38 st. C), a następnie zaprezentować widoczność alertu na liście pacjentów.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11.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-moduł Zakażenia szpitalne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tworzenie dokumentów ZLK 1-5  z poziomu oddziału, zgodnie z rozporządzeniem Ministra Zdrowia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W celu spełnienia wymagania należy: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możliwość uzupełnienia dokumentów wymienionych w treści wymagania.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12.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Oprogramowanie wewnętrzne Szpitala -moduł Blok Operacyjny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wystawienia zleceń z poziomu bloku operacyjnego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dla pacjenta już zaewidencjonowanego w systemie wystawić zlecenie na zabieg operacyjny z poziomu bloku operacyjnego. 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13.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e-rejestracja zintegrowana z modułem Poradnia-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</w:tcPr>
          <w:p>
            <w:pPr>
              <w:pStyle w:val="Normal"/>
              <w:pBdr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System zapewnia przegląd listę wolnych terminów spełniających kryteria wyszukiwania z możliwością wyboru jednego z nich 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e-Usługi zaprezentować listę wolnych terminów oraz możliwe do wyboru kryteria ich filtracji.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14.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e-rejestracja zintegrowana z modułem Poradnia-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</w:tcPr>
          <w:p>
            <w:pPr>
              <w:pStyle w:val="Normal"/>
              <w:pBdr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konfigurację ankiet i przypisane ich do poszczególnych rodzajów usług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e-Usługi zaprezentować widoczność ankiet przypisanych do konkretnej, wybranej z listy usługi.  Następnie należy zaprezentować możliwość konfiguracji ankiety np. rejestracji na wizytę z poziomu administracji oraz jej przypisanie do odpowiedniej usługi.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15.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e-rejestracja zintegrowana z modułem Poradnia-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</w:tcPr>
          <w:p>
            <w:pPr>
              <w:pStyle w:val="Normal"/>
              <w:pBdr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przed zapisaniem na wizytę wyświetla podsumowania i wymaga od pacjenta potwierdzenia zawartych informacji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dokonać rejestracji na usługę i zaprezentować ekran podsumowania rejestracji zawierający podstawowe dane na temat wizyty.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16.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e-rejestracja zintegrowana z modułem Poradnia-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integrację z centralnym systemem informatycznym.  Informacja o dokonanej rezerwacji zmienia status w systemie centralnym.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dla wykonanej w pkt. 13 rejestracji zaprezentować jej widoczność w centralnym systemie informatycznym.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17.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e-rejestracja zintegrowana z modułem Poradnia- Rejestracja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pBdr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anulowanie wizyty zgodnie z określonymi zasadami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 poziomu e-Usługi dokonać anulować zarejestrowaną w pkt. 13 wizytę.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18.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EDM</w:t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wyszukiwanie według określonych parametrów (metadanych) dokumentu oraz pełno-tekstowe przeszukiwanie treści dokumentów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 xml:space="preserve">W celu spełnienia wymagania należy: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możliwość kontekstowego przeszukiwania dokumentów. Po wprowadzeniu wyrazu, który znajduje się w treści dokumentów system powinien zawęzić listę do tych zawierających wprowadzony wyraz.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19.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EDM</w:t>
            </w:r>
          </w:p>
        </w:tc>
        <w:tc>
          <w:tcPr>
            <w:tcW w:w="230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przechowywanie wszystkich wersji dokumentów medycznych wraz z możliwością śledzenia zmian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dokument, dla którego zostały utworzone co najmniej dwie wersje, oraz zaprezentować podgląd tych wersji.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  <w:tr>
        <w:trPr/>
        <w:tc>
          <w:tcPr>
            <w:tcW w:w="56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20.</w:t>
            </w:r>
          </w:p>
        </w:tc>
        <w:tc>
          <w:tcPr>
            <w:tcW w:w="270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EDM</w:t>
            </w:r>
          </w:p>
        </w:tc>
        <w:tc>
          <w:tcPr>
            <w:tcW w:w="2301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System zapewnia definiowanie poziomów dostępności do wprowadzanej dokumentacji medycznej.</w:t>
            </w:r>
          </w:p>
        </w:tc>
        <w:tc>
          <w:tcPr>
            <w:tcW w:w="24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W celu spełnienia wymagania należy: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ascii="Cambria" w:hAnsi="Cambria" w:cstheme="majorHAnsi"/>
                <w:color w:val="000000"/>
                <w:lang w:eastAsia="pl-PL"/>
              </w:rPr>
              <w:t>zaprezentować możliwość przypisywania dostępności do dokumentacji medycznej.</w:t>
            </w:r>
          </w:p>
        </w:tc>
        <w:tc>
          <w:tcPr>
            <w:tcW w:w="100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Calibri Light" w:cstheme="majorHAnsi"/>
                <w:color w:val="000000"/>
                <w:lang w:eastAsia="pl-PL"/>
              </w:rPr>
            </w:pPr>
            <w:r>
              <w:rPr>
                <w:rFonts w:eastAsia="Times New Roman" w:cs="Calibri Light" w:cstheme="majorHAnsi" w:ascii="Cambria" w:hAnsi="Cambria"/>
                <w:color w:val="000000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mbria" w:hAnsi="Cambria" w:eastAsia="Times New Roman" w:cs="Calibri Light" w:cstheme="majorHAnsi"/>
          <w:color w:val="000000"/>
          <w:lang w:eastAsia="pl-PL"/>
        </w:rPr>
      </w:pPr>
      <w:r>
        <w:rPr>
          <w:rFonts w:eastAsia="Times New Roman" w:cs="Calibri Light" w:cstheme="majorHAnsi" w:ascii="Cambria" w:hAnsi="Cambria"/>
          <w:color w:val="000000"/>
          <w:lang w:eastAsia="pl-PL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7" w:right="1417" w:header="708" w:top="993" w:footer="708" w:bottom="765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40"/>
      <w:jc w:val="center"/>
      <w:rPr>
        <w:rFonts w:ascii="Times New Roman" w:hAnsi="Times New Roman" w:eastAsia="Calibri" w:cs="Times New Roman"/>
        <w:i/>
        <w:i/>
        <w:kern w:val="0"/>
        <w:sz w:val="20"/>
        <w:szCs w:val="20"/>
        <w:lang w:eastAsia="en-US"/>
      </w:rPr>
    </w:pPr>
    <w:r>
      <w:rPr>
        <w:rFonts w:eastAsia="Calibri" w:cs="Times New Roman" w:ascii="Times New Roman" w:hAnsi="Times New Roman"/>
        <w:i/>
        <w:kern w:val="0"/>
        <w:sz w:val="20"/>
        <w:szCs w:val="20"/>
        <w:lang w:eastAsia="en-US"/>
      </w:rPr>
    </w:r>
  </w:p>
  <w:sdt>
    <w:sdtPr>
      <w:docPartObj>
        <w:docPartGallery w:val="Page Numbers (Bottom of Page)"/>
        <w:docPartUnique w:val="true"/>
      </w:docPartObj>
      <w:id w:val="1263485231"/>
    </w:sdtPr>
    <w:sdtContent>
      <w:p>
        <w:pPr>
          <w:pStyle w:val="Standard"/>
          <w:spacing w:lineRule="auto" w:line="240"/>
          <w:jc w:val="center"/>
          <w:rPr>
            <w:sz w:val="20"/>
            <w:szCs w:val="20"/>
          </w:rPr>
        </w:pPr>
        <w:r>
          <w:rPr>
            <w:sz w:val="20"/>
            <w:szCs w:val="20"/>
          </w:rPr>
        </w:r>
      </w:p>
      <w:p>
        <w:pPr>
          <w:pStyle w:val="Stopka"/>
          <w:jc w:val="right"/>
          <w:rPr/>
        </w:pPr>
        <w:r>
          <w:rPr>
            <w:rFonts w:cs="Calibri" w:cstheme="minorHAnsi"/>
            <w:sz w:val="16"/>
            <w:szCs w:val="16"/>
          </w:rPr>
          <w:fldChar w:fldCharType="begin"/>
        </w:r>
        <w:r>
          <w:rPr>
            <w:sz w:val="16"/>
            <w:szCs w:val="16"/>
            <w:rFonts w:cs="Calibri"/>
          </w:rPr>
          <w:instrText> PAGE </w:instrText>
        </w:r>
        <w:r>
          <w:rPr>
            <w:sz w:val="16"/>
            <w:szCs w:val="16"/>
            <w:rFonts w:cs="Calibri"/>
          </w:rPr>
          <w:fldChar w:fldCharType="separate"/>
        </w:r>
        <w:r>
          <w:rPr>
            <w:sz w:val="16"/>
            <w:szCs w:val="16"/>
            <w:rFonts w:cs="Calibri"/>
          </w:rPr>
          <w:t>11</w:t>
        </w:r>
        <w:r>
          <w:rPr>
            <w:sz w:val="16"/>
            <w:szCs w:val="16"/>
            <w:rFonts w:cs="Calibri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lang w:eastAsia="pl-PL"/>
      </w:rPr>
    </w:pPr>
    <w:r>
      <w:rPr>
        <w:lang w:eastAsia="pl-PL"/>
      </w:rPr>
      <w:t xml:space="preserve">                         </w: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0" w:hanging="0"/>
      </w:pPr>
    </w:lvl>
    <w:lvl w:ilvl="1">
      <w:start w:val="1"/>
      <w:numFmt w:val="lowerLetter"/>
      <w:lvlText w:val="%2)"/>
      <w:lvlJc w:val="left"/>
      <w:pPr>
        <w:ind w:left="0" w:hanging="0"/>
      </w:pPr>
      <w:rPr>
        <w:dstrike w:val="false"/>
        <w:strike w:val="false"/>
        <w:u w:val="none"/>
        <w:effect w:val="none"/>
        <w:rFonts w:ascii="Cambria" w:hAnsi="Cambria"/>
        <w:color w:val="auto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rFonts w:ascii="Cambria" w:hAnsi="Cambria" w:cs="Times New Roman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508" w:hanging="360"/>
      </w:pPr>
      <w:rPr>
        <w:rFonts w:cs="Times New Roman"/>
      </w:rPr>
    </w:lvl>
    <w:lvl w:ilvl="3">
      <w:start w:val="1"/>
      <w:numFmt w:val="upperRoman"/>
      <w:lvlText w:val="%4."/>
      <w:lvlJc w:val="right"/>
      <w:pPr>
        <w:ind w:left="3228" w:hanging="360"/>
      </w:pPr>
      <w:rPr>
        <w:rFonts w:cs="Times New Roman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6280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d370cb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d370cb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rFonts w:ascii="Cambria" w:hAnsi="Cambria"/>
      <w:strike w:val="false"/>
      <w:dstrike w:val="false"/>
      <w:color w:val="auto"/>
      <w:u w:val="none"/>
      <w:effect w:val="none"/>
    </w:rPr>
  </w:style>
  <w:style w:type="character" w:styleId="ListLabel6">
    <w:name w:val="ListLabel 6"/>
    <w:qFormat/>
    <w:rPr>
      <w:rFonts w:ascii="Cambria" w:hAnsi="Cambria" w:cs="Times New Roman"/>
      <w:sz w:val="22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b w:val="false"/>
      <w:strike w:val="false"/>
      <w:dstrike w:val="false"/>
      <w:color w:val="auto"/>
    </w:rPr>
  </w:style>
  <w:style w:type="character" w:styleId="ListLabel10">
    <w:name w:val="ListLabel 10"/>
    <w:qFormat/>
    <w:rPr>
      <w:b w:val="false"/>
      <w:strike w:val="false"/>
      <w:dstrike w:val="false"/>
      <w:color w:val="auto"/>
    </w:rPr>
  </w:style>
  <w:style w:type="character" w:styleId="ListLabel11">
    <w:name w:val="ListLabel 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Standard" w:customStyle="1">
    <w:name w:val="Standard"/>
    <w:qFormat/>
    <w:rsid w:val="00205ca0"/>
    <w:pPr>
      <w:widowControl/>
      <w:suppressAutoHyphens w:val="tru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eastAsia="zh-CN" w:val="pl-PL" w:bidi="ar-SA"/>
    </w:rPr>
  </w:style>
  <w:style w:type="paragraph" w:styleId="Revision">
    <w:name w:val="Revision"/>
    <w:uiPriority w:val="99"/>
    <w:semiHidden/>
    <w:qFormat/>
    <w:rsid w:val="00af7f4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ela1" w:customStyle="1">
    <w:name w:val="Tabela1"/>
    <w:basedOn w:val="Normal"/>
    <w:qFormat/>
    <w:rsid w:val="008d7ad3"/>
    <w:pPr>
      <w:widowControl w:val="false"/>
      <w:overflowPunct w:val="true"/>
      <w:spacing w:lineRule="auto" w:line="240" w:before="20" w:after="20"/>
      <w:ind w:left="113" w:hanging="0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V1msolistparagraph" w:customStyle="1">
    <w:name w:val="v1msolistparagraph"/>
    <w:basedOn w:val="Normal"/>
    <w:qFormat/>
    <w:rsid w:val="00f737b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145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7" ma:contentTypeDescription="Utwórz nowy dokument." ma:contentTypeScope="" ma:versionID="1a03681984eec2d79457ccb48f605ab0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dfa59039836177a79da29c62e3ebaaaf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E887C-67D6-4E5F-88A1-044A5FF4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00085-0AA7-4F8F-B800-81D7B61DEB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LibreOffice/6.1.3.2$Windows_x86 LibreOffice_project/86daf60bf00efa86ad547e59e09d6bb77c699acb</Application>
  <Pages>11</Pages>
  <Words>3128</Words>
  <Characters>18768</Characters>
  <CharactersWithSpaces>21853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2021-11-09T09:10:00Z</dcterms:created>
  <dc:creator/>
  <dc:description/>
  <dc:language>pl-PL</dc:language>
  <cp:lastModifiedBy/>
  <cp:lastPrinted>2021-11-25T08:22:00Z</cp:lastPrinted>
  <dcterms:modified xsi:type="dcterms:W3CDTF">2022-07-25T09:28:12Z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